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1023" w14:textId="44482FE1" w:rsidR="00620766" w:rsidRPr="00620766" w:rsidRDefault="00620766" w:rsidP="007F1173">
      <w:pPr>
        <w:ind w:left="-288" w:right="-288"/>
        <w:jc w:val="center"/>
        <w:rPr>
          <w:rFonts w:eastAsia="Times New Roman" w:cstheme="minorHAnsi"/>
          <w:b/>
          <w:bCs/>
        </w:rPr>
      </w:pPr>
      <w:r w:rsidRPr="00620766">
        <w:rPr>
          <w:rFonts w:eastAsia="Times New Roman" w:cstheme="minorHAnsi"/>
          <w:b/>
          <w:bCs/>
        </w:rPr>
        <w:t>Prevent Blindness has put together the below letter template for patients to use when reaching out to CMS. We encourage you to use the letter template to contact CMS and share your story with glaucoma to help protect access to sight-saving care for millions of Medicare beneficiaries.</w:t>
      </w:r>
    </w:p>
    <w:p w14:paraId="5D60CADE" w14:textId="4E19C76F" w:rsidR="00395531" w:rsidRPr="00620766" w:rsidRDefault="00620766" w:rsidP="007F1173">
      <w:pPr>
        <w:ind w:left="-288" w:right="-288"/>
        <w:rPr>
          <w:rFonts w:eastAsia="Times New Roman" w:cstheme="minorHAnsi"/>
        </w:rPr>
      </w:pPr>
      <w:r w:rsidRPr="00620766">
        <w:rPr>
          <w:rFonts w:eastAsia="Times New Roman" w:cstheme="minorHAnsi"/>
        </w:rPr>
        <w:t> </w:t>
      </w:r>
    </w:p>
    <w:p w14:paraId="43AB14AB" w14:textId="1F87876C" w:rsidR="00395531" w:rsidRPr="00395531" w:rsidRDefault="00680915" w:rsidP="007F1173">
      <w:pPr>
        <w:ind w:left="-288" w:right="-288"/>
        <w:rPr>
          <w:rFonts w:eastAsia="Times New Roman" w:cstheme="minorHAnsi"/>
        </w:rPr>
      </w:pPr>
      <w:r>
        <w:rPr>
          <w:rFonts w:eastAsia="Times New Roman" w:cstheme="minorHAnsi"/>
        </w:rPr>
        <w:t>To Whom It May Concern:</w:t>
      </w:r>
    </w:p>
    <w:p w14:paraId="1544C8FA" w14:textId="77777777" w:rsidR="00395531" w:rsidRPr="00395531" w:rsidRDefault="00395531" w:rsidP="007F1173">
      <w:pPr>
        <w:ind w:left="-288" w:right="-288"/>
        <w:rPr>
          <w:rFonts w:eastAsia="Times New Roman" w:cstheme="minorHAnsi"/>
        </w:rPr>
      </w:pPr>
    </w:p>
    <w:p w14:paraId="0ADEE508" w14:textId="74EF2867" w:rsidR="00395531" w:rsidRPr="00395531" w:rsidRDefault="00395531" w:rsidP="007F1173">
      <w:pPr>
        <w:ind w:left="-288" w:right="-288"/>
        <w:rPr>
          <w:rFonts w:eastAsia="Times New Roman" w:cstheme="minorHAnsi"/>
        </w:rPr>
      </w:pPr>
      <w:r w:rsidRPr="00395531">
        <w:rPr>
          <w:rFonts w:eastAsia="Times New Roman" w:cstheme="minorHAnsi"/>
        </w:rPr>
        <w:t xml:space="preserve">As a person who lives with glaucoma, I write in response to a recently finalized local coverage determination (LCD) issued by five out of seven Medicare Administrative Contractors (MACs) that, if implemented, will severely compromise access to Micro-Invasive Glaucoma Surgery (MIGS). </w:t>
      </w:r>
      <w:r w:rsidRPr="00395531">
        <w:rPr>
          <w:rFonts w:eastAsia="Times New Roman" w:cstheme="minorHAnsi"/>
          <w:b/>
          <w:bCs/>
        </w:rPr>
        <w:t xml:space="preserve">I am requesting that the Centers for Medicare and Medicaid Services ask the MACs to withdraw these policies and to allow for a reopening of a public notice and comment period to ensure that glaucoma patients, professionals, and other stakeholders can weigh in and provide evidence-based, clinical guidelines on coverage decisions for MIGS. </w:t>
      </w:r>
      <w:r w:rsidRPr="00395531">
        <w:rPr>
          <w:rFonts w:eastAsia="Times New Roman" w:cstheme="minorHAnsi"/>
        </w:rPr>
        <w:t>Prevent Blindness, the nation’s leading voluntary nonprofit patient advocacy organization dedicated to preventing blindness and preserving sight, has also urged withdrawal of this LCD policy as outlined in their letter sent on December 7, 2023.</w:t>
      </w:r>
    </w:p>
    <w:p w14:paraId="24051EF4" w14:textId="77777777" w:rsidR="00395531" w:rsidRPr="00395531" w:rsidRDefault="00395531" w:rsidP="007F1173">
      <w:pPr>
        <w:ind w:left="-288" w:right="-288"/>
        <w:rPr>
          <w:rFonts w:eastAsia="Times New Roman" w:cstheme="minorHAnsi"/>
          <w:b/>
          <w:bCs/>
        </w:rPr>
      </w:pPr>
    </w:p>
    <w:p w14:paraId="73812F35" w14:textId="77777777" w:rsidR="00395531" w:rsidRPr="00395531" w:rsidRDefault="00395531" w:rsidP="007F1173">
      <w:pPr>
        <w:ind w:left="-288" w:right="-288"/>
        <w:rPr>
          <w:rFonts w:eastAsia="Times New Roman" w:cstheme="minorHAnsi"/>
        </w:rPr>
      </w:pPr>
      <w:r w:rsidRPr="00395531">
        <w:rPr>
          <w:rFonts w:eastAsia="Times New Roman" w:cstheme="minorHAnsi"/>
        </w:rPr>
        <w:t xml:space="preserve">Glaucoma is a very serious, irreversible sight-threatening disease that, according to </w:t>
      </w:r>
      <w:hyperlink r:id="rId10" w:history="1">
        <w:r w:rsidRPr="00395531">
          <w:rPr>
            <w:rFonts w:eastAsia="Times New Roman" w:cstheme="minorHAnsi"/>
            <w:color w:val="0563C1"/>
            <w:u w:val="single"/>
          </w:rPr>
          <w:t>the Centers for Disease Control and Prevention</w:t>
        </w:r>
      </w:hyperlink>
      <w:r w:rsidRPr="00395531">
        <w:rPr>
          <w:rFonts w:eastAsia="Times New Roman" w:cstheme="minorHAnsi"/>
        </w:rPr>
        <w:t xml:space="preserve"> (CDC), affects more than 3 million Americans and affecting black Americans 6 times more frequently than white Americans. The CDC also projects that glaucoma rates will more than double by 2050, with over half of glaucoma patients being Hispanic. With these troubling trends, access to innovative procedures such as MIGS can mean the difference between living a life with healthy vision or needless vision loss. </w:t>
      </w:r>
    </w:p>
    <w:p w14:paraId="3DFD09C7" w14:textId="77777777" w:rsidR="00395531" w:rsidRPr="00395531" w:rsidRDefault="00395531" w:rsidP="007F1173">
      <w:pPr>
        <w:ind w:left="-288" w:right="-288"/>
        <w:rPr>
          <w:rFonts w:eastAsia="Times New Roman" w:cstheme="minorHAnsi"/>
        </w:rPr>
      </w:pPr>
    </w:p>
    <w:p w14:paraId="2F6CE525" w14:textId="77777777" w:rsidR="00395531" w:rsidRPr="00395531" w:rsidRDefault="00395531" w:rsidP="007F1173">
      <w:pPr>
        <w:ind w:left="-288" w:right="-288"/>
        <w:rPr>
          <w:rFonts w:eastAsia="Times New Roman" w:cstheme="minorHAnsi"/>
        </w:rPr>
      </w:pPr>
      <w:r w:rsidRPr="00395531">
        <w:rPr>
          <w:rFonts w:eastAsia="Times New Roman" w:cstheme="minorHAnsi"/>
        </w:rPr>
        <w:t>The recent LCD decisions by the five MACs – namely, WPS Insurance Corporation, CGS Administrators, National Government Services, Noridian Healthcare Solutions, and Palmetto GBA—is particularly concerning for vulnerable patient populations that have higher rates of glaucoma and blindness, including Blacks, Hispanics, and low-income patients. Patients with glaucoma need access to a range of surgical procedures reflecting their individual anatomical and disease features with varied levels of intraocular pressure (IOP) targets for disease stability. Unfortunately, the finalized policies released by the MACs do not recognize the need for glaucoma treatment to be tailored to the individual patient.</w:t>
      </w:r>
      <w:r w:rsidRPr="00395531">
        <w:rPr>
          <w:rFonts w:eastAsia="Times New Roman" w:cstheme="minorHAnsi"/>
          <w:b/>
          <w:bCs/>
        </w:rPr>
        <w:t xml:space="preserve"> It is heartbreaking enough to get a glaucoma diagnosis only to be told that you cannot access the procedure that is best for your prognosis.</w:t>
      </w:r>
    </w:p>
    <w:p w14:paraId="7F9F8BB6" w14:textId="77777777" w:rsidR="00395531" w:rsidRPr="00395531" w:rsidRDefault="00395531" w:rsidP="007F1173">
      <w:pPr>
        <w:ind w:left="-288" w:right="-288"/>
        <w:rPr>
          <w:rFonts w:eastAsia="Times New Roman" w:cstheme="minorHAnsi"/>
        </w:rPr>
      </w:pPr>
    </w:p>
    <w:p w14:paraId="26BFCC11" w14:textId="77777777" w:rsidR="00395531" w:rsidRPr="00395531" w:rsidRDefault="00395531" w:rsidP="007F1173">
      <w:pPr>
        <w:ind w:left="-288" w:right="-288"/>
        <w:jc w:val="center"/>
        <w:rPr>
          <w:rFonts w:eastAsia="Times New Roman" w:cstheme="minorHAnsi"/>
        </w:rPr>
      </w:pPr>
      <w:r w:rsidRPr="00395531">
        <w:rPr>
          <w:rFonts w:eastAsia="Times New Roman" w:cstheme="minorHAnsi"/>
          <w:highlight w:val="yellow"/>
        </w:rPr>
        <w:t>[Please feel free to include your personal story about glaucoma and how this decision may affect your access to glaucoma care. You may wish to include specifics about how limited access to procedures like MIGS may add personal cost to you, your family, or your care community or how your quality of life would be affected without access to glaucoma care. We advise that you keep your story concise to ensure that the main points are considered.]</w:t>
      </w:r>
    </w:p>
    <w:p w14:paraId="270460E6" w14:textId="77777777" w:rsidR="00395531" w:rsidRPr="00395531" w:rsidRDefault="00395531" w:rsidP="007F1173">
      <w:pPr>
        <w:ind w:left="-288" w:right="-288"/>
        <w:rPr>
          <w:rFonts w:eastAsia="Times New Roman" w:cstheme="minorHAnsi"/>
        </w:rPr>
      </w:pPr>
    </w:p>
    <w:p w14:paraId="6E061E49" w14:textId="77777777" w:rsidR="00395531" w:rsidRPr="00395531" w:rsidRDefault="00395531" w:rsidP="007F1173">
      <w:pPr>
        <w:ind w:left="-288" w:right="-288"/>
        <w:rPr>
          <w:rFonts w:eastAsia="Times New Roman" w:cstheme="minorHAnsi"/>
        </w:rPr>
      </w:pPr>
      <w:r w:rsidRPr="00395531">
        <w:rPr>
          <w:rFonts w:eastAsia="Times New Roman" w:cstheme="minorHAnsi"/>
        </w:rPr>
        <w:t xml:space="preserve">Thank you for your consideration. Once again, I ask CMS to urge the MACs to withdraw these potentially harmful LCDs immediately and to provide an appropriate opportunity to engage with stakeholders, including patients, </w:t>
      </w:r>
      <w:proofErr w:type="gramStart"/>
      <w:r w:rsidRPr="00395531">
        <w:rPr>
          <w:rFonts w:eastAsia="Times New Roman" w:cstheme="minorHAnsi"/>
        </w:rPr>
        <w:t>in order to</w:t>
      </w:r>
      <w:proofErr w:type="gramEnd"/>
      <w:r w:rsidRPr="00395531">
        <w:rPr>
          <w:rFonts w:eastAsia="Times New Roman" w:cstheme="minorHAnsi"/>
        </w:rPr>
        <w:t xml:space="preserve"> implement LCDs for MIGS that are truly reflective of patient access to safe, effective medical and surgical treatments for glaucoma. </w:t>
      </w:r>
    </w:p>
    <w:p w14:paraId="7BC4C257" w14:textId="77777777" w:rsidR="00395531" w:rsidRPr="00395531" w:rsidRDefault="00395531" w:rsidP="007F1173">
      <w:pPr>
        <w:ind w:left="-288" w:right="-288"/>
        <w:rPr>
          <w:rFonts w:eastAsia="Times New Roman" w:cstheme="minorHAnsi"/>
        </w:rPr>
      </w:pPr>
    </w:p>
    <w:p w14:paraId="13DE3208" w14:textId="038F49FC" w:rsidR="004277BC" w:rsidRPr="00620766" w:rsidRDefault="00395531" w:rsidP="007F1173">
      <w:pPr>
        <w:ind w:left="-288" w:right="-288"/>
        <w:rPr>
          <w:rFonts w:eastAsia="Calibri" w:cstheme="minorHAnsi"/>
          <w:sz w:val="22"/>
          <w:szCs w:val="28"/>
        </w:rPr>
      </w:pPr>
      <w:r w:rsidRPr="00395531">
        <w:rPr>
          <w:rFonts w:eastAsia="Times New Roman" w:cstheme="minorHAnsi"/>
        </w:rPr>
        <w:t>Sincerely,</w:t>
      </w:r>
    </w:p>
    <w:sectPr w:rsidR="004277BC" w:rsidRPr="00620766" w:rsidSect="003D5C06">
      <w:headerReference w:type="default" r:id="rId11"/>
      <w:headerReference w:type="first" r:id="rId12"/>
      <w:pgSz w:w="12240" w:h="15840"/>
      <w:pgMar w:top="200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623B" w14:textId="77777777" w:rsidR="00C078E4" w:rsidRDefault="00C078E4" w:rsidP="004B3567">
      <w:r>
        <w:separator/>
      </w:r>
    </w:p>
  </w:endnote>
  <w:endnote w:type="continuationSeparator" w:id="0">
    <w:p w14:paraId="119A33DE" w14:textId="77777777" w:rsidR="00C078E4" w:rsidRDefault="00C078E4" w:rsidP="004B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9391" w14:textId="77777777" w:rsidR="00C078E4" w:rsidRDefault="00C078E4" w:rsidP="004B3567">
      <w:r>
        <w:separator/>
      </w:r>
    </w:p>
  </w:footnote>
  <w:footnote w:type="continuationSeparator" w:id="0">
    <w:p w14:paraId="319B07BD" w14:textId="77777777" w:rsidR="00C078E4" w:rsidRDefault="00C078E4" w:rsidP="004B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FB0" w14:textId="51603050" w:rsidR="004B3567" w:rsidRDefault="004B3567">
    <w:pPr>
      <w:pStyle w:val="Header"/>
    </w:pPr>
    <w:r>
      <w:rPr>
        <w:noProof/>
      </w:rPr>
      <w:drawing>
        <wp:anchor distT="0" distB="0" distL="114300" distR="114300" simplePos="0" relativeHeight="251659264" behindDoc="1" locked="0" layoutInCell="1" allowOverlap="1" wp14:anchorId="722A6133" wp14:editId="1AB5E1E8">
          <wp:simplePos x="0" y="0"/>
          <wp:positionH relativeFrom="column">
            <wp:posOffset>-914400</wp:posOffset>
          </wp:positionH>
          <wp:positionV relativeFrom="page">
            <wp:posOffset>411</wp:posOffset>
          </wp:positionV>
          <wp:extent cx="7771765" cy="10057578"/>
          <wp:effectExtent l="0" t="0" r="63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5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D2A6" w14:textId="046B63C3" w:rsidR="004E1718" w:rsidRPr="004E1718" w:rsidRDefault="004E1718" w:rsidP="004E1718">
    <w:pPr>
      <w:pStyle w:val="Header"/>
      <w:rPr>
        <w:b/>
        <w:bCs/>
        <w:color w:val="FFFFFF"/>
        <w:sz w:val="32"/>
        <w:szCs w:val="32"/>
      </w:rPr>
    </w:pPr>
    <w:r w:rsidRPr="004E1718">
      <w:rPr>
        <w:b/>
        <w:bCs/>
        <w:noProof/>
        <w:color w:val="FFFFFF"/>
        <w:sz w:val="32"/>
        <w:szCs w:val="32"/>
      </w:rPr>
      <mc:AlternateContent>
        <mc:Choice Requires="wps">
          <w:drawing>
            <wp:anchor distT="45720" distB="45720" distL="114300" distR="114300" simplePos="0" relativeHeight="251661312" behindDoc="0" locked="0" layoutInCell="1" allowOverlap="1" wp14:anchorId="26DEE138" wp14:editId="62A760C1">
              <wp:simplePos x="0" y="0"/>
              <wp:positionH relativeFrom="column">
                <wp:posOffset>-246380</wp:posOffset>
              </wp:positionH>
              <wp:positionV relativeFrom="paragraph">
                <wp:posOffset>-203200</wp:posOffset>
              </wp:positionV>
              <wp:extent cx="349885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819150"/>
                      </a:xfrm>
                      <a:prstGeom prst="rect">
                        <a:avLst/>
                      </a:prstGeom>
                      <a:noFill/>
                      <a:ln w="9525">
                        <a:noFill/>
                        <a:miter lim="800000"/>
                        <a:headEnd/>
                        <a:tailEnd/>
                      </a:ln>
                    </wps:spPr>
                    <wps:txbx>
                      <w:txbxContent>
                        <w:p w14:paraId="0AD83EC4" w14:textId="2EC20B83" w:rsidR="00D236C8" w:rsidRPr="00395531" w:rsidRDefault="004277BC">
                          <w:pPr>
                            <w:rPr>
                              <w:b/>
                              <w:bCs/>
                              <w:color w:val="FFFFFF"/>
                              <w:sz w:val="40"/>
                              <w:szCs w:val="40"/>
                            </w:rPr>
                          </w:pPr>
                          <w:r w:rsidRPr="00395531">
                            <w:rPr>
                              <w:b/>
                              <w:bCs/>
                              <w:color w:val="FFFFFF"/>
                              <w:sz w:val="40"/>
                              <w:szCs w:val="40"/>
                            </w:rPr>
                            <w:t xml:space="preserve">Protect Medicare Access to </w:t>
                          </w:r>
                        </w:p>
                        <w:p w14:paraId="7560A2BC" w14:textId="302AF146" w:rsidR="004277BC" w:rsidRPr="004277BC" w:rsidRDefault="004277BC">
                          <w:pPr>
                            <w:rPr>
                              <w:sz w:val="40"/>
                              <w:szCs w:val="40"/>
                            </w:rPr>
                          </w:pPr>
                          <w:r w:rsidRPr="00395531">
                            <w:rPr>
                              <w:b/>
                              <w:bCs/>
                              <w:color w:val="FFFFFF"/>
                              <w:sz w:val="40"/>
                              <w:szCs w:val="40"/>
                            </w:rPr>
                            <w:t>Sight-Saving Glaucoma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138" id="_x0000_t202" coordsize="21600,21600" o:spt="202" path="m,l,21600r21600,l21600,xe">
              <v:stroke joinstyle="miter"/>
              <v:path gradientshapeok="t" o:connecttype="rect"/>
            </v:shapetype>
            <v:shape id="Text Box 2" o:spid="_x0000_s1026" type="#_x0000_t202" style="position:absolute;margin-left:-19.4pt;margin-top:-16pt;width:275.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" filled="f" stroked="f">
              <v:textbox>
                <w:txbxContent>
                  <w:p w14:paraId="0AD83EC4" w14:textId="2EC20B83" w:rsidR="00D236C8" w:rsidRPr="00395531" w:rsidRDefault="004277BC">
                    <w:pPr>
                      <w:rPr>
                        <w:b/>
                        <w:bCs/>
                        <w:color w:val="FFFFFF"/>
                        <w:sz w:val="40"/>
                        <w:szCs w:val="40"/>
                      </w:rPr>
                    </w:pPr>
                    <w:r w:rsidRPr="00395531">
                      <w:rPr>
                        <w:b/>
                        <w:bCs/>
                        <w:color w:val="FFFFFF"/>
                        <w:sz w:val="40"/>
                        <w:szCs w:val="40"/>
                      </w:rPr>
                      <w:t xml:space="preserve">Protect Medicare Access to </w:t>
                    </w:r>
                  </w:p>
                  <w:p w14:paraId="7560A2BC" w14:textId="302AF146" w:rsidR="004277BC" w:rsidRPr="004277BC" w:rsidRDefault="004277BC">
                    <w:pPr>
                      <w:rPr>
                        <w:sz w:val="40"/>
                        <w:szCs w:val="40"/>
                      </w:rPr>
                    </w:pPr>
                    <w:r w:rsidRPr="00395531">
                      <w:rPr>
                        <w:b/>
                        <w:bCs/>
                        <w:color w:val="FFFFFF"/>
                        <w:sz w:val="40"/>
                        <w:szCs w:val="40"/>
                      </w:rPr>
                      <w:t>Sight-Saving Glaucoma Care!</w:t>
                    </w:r>
                  </w:p>
                </w:txbxContent>
              </v:textbox>
              <w10:wrap type="square"/>
            </v:shape>
          </w:pict>
        </mc:Fallback>
      </mc:AlternateContent>
    </w:r>
    <w:r w:rsidR="004B3567" w:rsidRPr="004E1718">
      <w:rPr>
        <w:noProof/>
        <w:sz w:val="32"/>
        <w:szCs w:val="32"/>
      </w:rPr>
      <w:drawing>
        <wp:anchor distT="0" distB="0" distL="114300" distR="114300" simplePos="0" relativeHeight="251658240" behindDoc="1" locked="0" layoutInCell="1" allowOverlap="1" wp14:anchorId="7C17902D" wp14:editId="5C9162C0">
          <wp:simplePos x="0" y="0"/>
          <wp:positionH relativeFrom="column">
            <wp:posOffset>-654050</wp:posOffset>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144"/>
    <w:multiLevelType w:val="hybridMultilevel"/>
    <w:tmpl w:val="0D12A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A"/>
    <w:multiLevelType w:val="hybridMultilevel"/>
    <w:tmpl w:val="CC5CA210"/>
    <w:lvl w:ilvl="0" w:tplc="A23ECBE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23496"/>
    <w:multiLevelType w:val="hybridMultilevel"/>
    <w:tmpl w:val="2968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0DC"/>
    <w:multiLevelType w:val="hybridMultilevel"/>
    <w:tmpl w:val="DE40C18A"/>
    <w:lvl w:ilvl="0" w:tplc="0E3A3090">
      <w:start w:val="1"/>
      <w:numFmt w:val="bullet"/>
      <w:lvlText w:val=""/>
      <w:lvlJc w:val="left"/>
      <w:pPr>
        <w:ind w:left="288"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7732"/>
    <w:multiLevelType w:val="hybridMultilevel"/>
    <w:tmpl w:val="F40E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C7AFA"/>
    <w:multiLevelType w:val="hybridMultilevel"/>
    <w:tmpl w:val="3A94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288B"/>
    <w:multiLevelType w:val="hybridMultilevel"/>
    <w:tmpl w:val="1F20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D0E3A"/>
    <w:multiLevelType w:val="hybridMultilevel"/>
    <w:tmpl w:val="C400DDF0"/>
    <w:lvl w:ilvl="0" w:tplc="E3A4A5F2">
      <w:start w:val="1"/>
      <w:numFmt w:val="decimal"/>
      <w:lvlText w:val="%1."/>
      <w:lvlJc w:val="left"/>
      <w:pPr>
        <w:ind w:left="720" w:hanging="360"/>
      </w:pPr>
      <w:rPr>
        <w:rFonts w:ascii="Franklin Gothic Medium" w:hAnsi="Franklin Gothic Medium" w:cs="Franklin Gothic Medium"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204B9"/>
    <w:multiLevelType w:val="hybridMultilevel"/>
    <w:tmpl w:val="BA528D04"/>
    <w:lvl w:ilvl="0" w:tplc="75443312">
      <w:start w:val="1"/>
      <w:numFmt w:val="bullet"/>
      <w:lvlText w:val="•"/>
      <w:lvlJc w:val="left"/>
      <w:pPr>
        <w:tabs>
          <w:tab w:val="num" w:pos="720"/>
        </w:tabs>
        <w:ind w:left="720" w:hanging="360"/>
      </w:pPr>
      <w:rPr>
        <w:rFonts w:ascii="Arial" w:hAnsi="Arial" w:hint="default"/>
      </w:rPr>
    </w:lvl>
    <w:lvl w:ilvl="1" w:tplc="AE882A44" w:tentative="1">
      <w:start w:val="1"/>
      <w:numFmt w:val="bullet"/>
      <w:lvlText w:val="•"/>
      <w:lvlJc w:val="left"/>
      <w:pPr>
        <w:tabs>
          <w:tab w:val="num" w:pos="1440"/>
        </w:tabs>
        <w:ind w:left="1440" w:hanging="360"/>
      </w:pPr>
      <w:rPr>
        <w:rFonts w:ascii="Arial" w:hAnsi="Arial" w:hint="default"/>
      </w:rPr>
    </w:lvl>
    <w:lvl w:ilvl="2" w:tplc="002C1384" w:tentative="1">
      <w:start w:val="1"/>
      <w:numFmt w:val="bullet"/>
      <w:lvlText w:val="•"/>
      <w:lvlJc w:val="left"/>
      <w:pPr>
        <w:tabs>
          <w:tab w:val="num" w:pos="2160"/>
        </w:tabs>
        <w:ind w:left="2160" w:hanging="360"/>
      </w:pPr>
      <w:rPr>
        <w:rFonts w:ascii="Arial" w:hAnsi="Arial" w:hint="default"/>
      </w:rPr>
    </w:lvl>
    <w:lvl w:ilvl="3" w:tplc="27D2218A" w:tentative="1">
      <w:start w:val="1"/>
      <w:numFmt w:val="bullet"/>
      <w:lvlText w:val="•"/>
      <w:lvlJc w:val="left"/>
      <w:pPr>
        <w:tabs>
          <w:tab w:val="num" w:pos="2880"/>
        </w:tabs>
        <w:ind w:left="2880" w:hanging="360"/>
      </w:pPr>
      <w:rPr>
        <w:rFonts w:ascii="Arial" w:hAnsi="Arial" w:hint="default"/>
      </w:rPr>
    </w:lvl>
    <w:lvl w:ilvl="4" w:tplc="32B82740" w:tentative="1">
      <w:start w:val="1"/>
      <w:numFmt w:val="bullet"/>
      <w:lvlText w:val="•"/>
      <w:lvlJc w:val="left"/>
      <w:pPr>
        <w:tabs>
          <w:tab w:val="num" w:pos="3600"/>
        </w:tabs>
        <w:ind w:left="3600" w:hanging="360"/>
      </w:pPr>
      <w:rPr>
        <w:rFonts w:ascii="Arial" w:hAnsi="Arial" w:hint="default"/>
      </w:rPr>
    </w:lvl>
    <w:lvl w:ilvl="5" w:tplc="208A8EE4" w:tentative="1">
      <w:start w:val="1"/>
      <w:numFmt w:val="bullet"/>
      <w:lvlText w:val="•"/>
      <w:lvlJc w:val="left"/>
      <w:pPr>
        <w:tabs>
          <w:tab w:val="num" w:pos="4320"/>
        </w:tabs>
        <w:ind w:left="4320" w:hanging="360"/>
      </w:pPr>
      <w:rPr>
        <w:rFonts w:ascii="Arial" w:hAnsi="Arial" w:hint="default"/>
      </w:rPr>
    </w:lvl>
    <w:lvl w:ilvl="6" w:tplc="22CEAF24" w:tentative="1">
      <w:start w:val="1"/>
      <w:numFmt w:val="bullet"/>
      <w:lvlText w:val="•"/>
      <w:lvlJc w:val="left"/>
      <w:pPr>
        <w:tabs>
          <w:tab w:val="num" w:pos="5040"/>
        </w:tabs>
        <w:ind w:left="5040" w:hanging="360"/>
      </w:pPr>
      <w:rPr>
        <w:rFonts w:ascii="Arial" w:hAnsi="Arial" w:hint="default"/>
      </w:rPr>
    </w:lvl>
    <w:lvl w:ilvl="7" w:tplc="8A0C4FF0" w:tentative="1">
      <w:start w:val="1"/>
      <w:numFmt w:val="bullet"/>
      <w:lvlText w:val="•"/>
      <w:lvlJc w:val="left"/>
      <w:pPr>
        <w:tabs>
          <w:tab w:val="num" w:pos="5760"/>
        </w:tabs>
        <w:ind w:left="5760" w:hanging="360"/>
      </w:pPr>
      <w:rPr>
        <w:rFonts w:ascii="Arial" w:hAnsi="Arial" w:hint="default"/>
      </w:rPr>
    </w:lvl>
    <w:lvl w:ilvl="8" w:tplc="09043D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2A46EA"/>
    <w:multiLevelType w:val="hybridMultilevel"/>
    <w:tmpl w:val="A3546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A0249E9"/>
    <w:multiLevelType w:val="hybridMultilevel"/>
    <w:tmpl w:val="F0A6A330"/>
    <w:lvl w:ilvl="0" w:tplc="0A1EA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B3AE0"/>
    <w:multiLevelType w:val="hybridMultilevel"/>
    <w:tmpl w:val="ECA6556E"/>
    <w:lvl w:ilvl="0" w:tplc="D03C02C6">
      <w:start w:val="1"/>
      <w:numFmt w:val="bullet"/>
      <w:lvlText w:val="•"/>
      <w:lvlJc w:val="left"/>
      <w:pPr>
        <w:tabs>
          <w:tab w:val="num" w:pos="720"/>
        </w:tabs>
        <w:ind w:left="720" w:hanging="360"/>
      </w:pPr>
      <w:rPr>
        <w:rFonts w:ascii="Arial" w:hAnsi="Arial" w:hint="default"/>
      </w:rPr>
    </w:lvl>
    <w:lvl w:ilvl="1" w:tplc="BB1A7BF8" w:tentative="1">
      <w:start w:val="1"/>
      <w:numFmt w:val="bullet"/>
      <w:lvlText w:val="•"/>
      <w:lvlJc w:val="left"/>
      <w:pPr>
        <w:tabs>
          <w:tab w:val="num" w:pos="1440"/>
        </w:tabs>
        <w:ind w:left="1440" w:hanging="360"/>
      </w:pPr>
      <w:rPr>
        <w:rFonts w:ascii="Arial" w:hAnsi="Arial" w:hint="default"/>
      </w:rPr>
    </w:lvl>
    <w:lvl w:ilvl="2" w:tplc="713C6D2C" w:tentative="1">
      <w:start w:val="1"/>
      <w:numFmt w:val="bullet"/>
      <w:lvlText w:val="•"/>
      <w:lvlJc w:val="left"/>
      <w:pPr>
        <w:tabs>
          <w:tab w:val="num" w:pos="2160"/>
        </w:tabs>
        <w:ind w:left="2160" w:hanging="360"/>
      </w:pPr>
      <w:rPr>
        <w:rFonts w:ascii="Arial" w:hAnsi="Arial" w:hint="default"/>
      </w:rPr>
    </w:lvl>
    <w:lvl w:ilvl="3" w:tplc="C52E213C" w:tentative="1">
      <w:start w:val="1"/>
      <w:numFmt w:val="bullet"/>
      <w:lvlText w:val="•"/>
      <w:lvlJc w:val="left"/>
      <w:pPr>
        <w:tabs>
          <w:tab w:val="num" w:pos="2880"/>
        </w:tabs>
        <w:ind w:left="2880" w:hanging="360"/>
      </w:pPr>
      <w:rPr>
        <w:rFonts w:ascii="Arial" w:hAnsi="Arial" w:hint="default"/>
      </w:rPr>
    </w:lvl>
    <w:lvl w:ilvl="4" w:tplc="7A72FD4E" w:tentative="1">
      <w:start w:val="1"/>
      <w:numFmt w:val="bullet"/>
      <w:lvlText w:val="•"/>
      <w:lvlJc w:val="left"/>
      <w:pPr>
        <w:tabs>
          <w:tab w:val="num" w:pos="3600"/>
        </w:tabs>
        <w:ind w:left="3600" w:hanging="360"/>
      </w:pPr>
      <w:rPr>
        <w:rFonts w:ascii="Arial" w:hAnsi="Arial" w:hint="default"/>
      </w:rPr>
    </w:lvl>
    <w:lvl w:ilvl="5" w:tplc="47588FF4" w:tentative="1">
      <w:start w:val="1"/>
      <w:numFmt w:val="bullet"/>
      <w:lvlText w:val="•"/>
      <w:lvlJc w:val="left"/>
      <w:pPr>
        <w:tabs>
          <w:tab w:val="num" w:pos="4320"/>
        </w:tabs>
        <w:ind w:left="4320" w:hanging="360"/>
      </w:pPr>
      <w:rPr>
        <w:rFonts w:ascii="Arial" w:hAnsi="Arial" w:hint="default"/>
      </w:rPr>
    </w:lvl>
    <w:lvl w:ilvl="6" w:tplc="1BBA1A08" w:tentative="1">
      <w:start w:val="1"/>
      <w:numFmt w:val="bullet"/>
      <w:lvlText w:val="•"/>
      <w:lvlJc w:val="left"/>
      <w:pPr>
        <w:tabs>
          <w:tab w:val="num" w:pos="5040"/>
        </w:tabs>
        <w:ind w:left="5040" w:hanging="360"/>
      </w:pPr>
      <w:rPr>
        <w:rFonts w:ascii="Arial" w:hAnsi="Arial" w:hint="default"/>
      </w:rPr>
    </w:lvl>
    <w:lvl w:ilvl="7" w:tplc="E300042C" w:tentative="1">
      <w:start w:val="1"/>
      <w:numFmt w:val="bullet"/>
      <w:lvlText w:val="•"/>
      <w:lvlJc w:val="left"/>
      <w:pPr>
        <w:tabs>
          <w:tab w:val="num" w:pos="5760"/>
        </w:tabs>
        <w:ind w:left="5760" w:hanging="360"/>
      </w:pPr>
      <w:rPr>
        <w:rFonts w:ascii="Arial" w:hAnsi="Arial" w:hint="default"/>
      </w:rPr>
    </w:lvl>
    <w:lvl w:ilvl="8" w:tplc="8236D0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E25A06"/>
    <w:multiLevelType w:val="hybridMultilevel"/>
    <w:tmpl w:val="BE149922"/>
    <w:lvl w:ilvl="0" w:tplc="0E3A3090">
      <w:start w:val="1"/>
      <w:numFmt w:val="bullet"/>
      <w:lvlText w:val=""/>
      <w:lvlJc w:val="left"/>
      <w:pPr>
        <w:ind w:left="288"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36A0B"/>
    <w:multiLevelType w:val="hybridMultilevel"/>
    <w:tmpl w:val="D032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517649">
    <w:abstractNumId w:val="0"/>
  </w:num>
  <w:num w:numId="2" w16cid:durableId="543522537">
    <w:abstractNumId w:val="5"/>
  </w:num>
  <w:num w:numId="3" w16cid:durableId="1541430508">
    <w:abstractNumId w:val="3"/>
  </w:num>
  <w:num w:numId="4" w16cid:durableId="1025598156">
    <w:abstractNumId w:val="12"/>
  </w:num>
  <w:num w:numId="5" w16cid:durableId="1787194477">
    <w:abstractNumId w:val="7"/>
  </w:num>
  <w:num w:numId="6" w16cid:durableId="1436246642">
    <w:abstractNumId w:val="1"/>
  </w:num>
  <w:num w:numId="7" w16cid:durableId="228733740">
    <w:abstractNumId w:val="9"/>
  </w:num>
  <w:num w:numId="8" w16cid:durableId="1714963370">
    <w:abstractNumId w:val="4"/>
  </w:num>
  <w:num w:numId="9" w16cid:durableId="553662934">
    <w:abstractNumId w:val="2"/>
  </w:num>
  <w:num w:numId="10" w16cid:durableId="1638561616">
    <w:abstractNumId w:val="6"/>
  </w:num>
  <w:num w:numId="11" w16cid:durableId="206574687">
    <w:abstractNumId w:val="11"/>
  </w:num>
  <w:num w:numId="12" w16cid:durableId="577909701">
    <w:abstractNumId w:val="8"/>
  </w:num>
  <w:num w:numId="13" w16cid:durableId="190146906">
    <w:abstractNumId w:val="13"/>
  </w:num>
  <w:num w:numId="14" w16cid:durableId="1485510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67"/>
    <w:rsid w:val="00000C3C"/>
    <w:rsid w:val="00010E71"/>
    <w:rsid w:val="000179C7"/>
    <w:rsid w:val="00021D86"/>
    <w:rsid w:val="000310C2"/>
    <w:rsid w:val="00031764"/>
    <w:rsid w:val="000342CE"/>
    <w:rsid w:val="000351BF"/>
    <w:rsid w:val="000365AB"/>
    <w:rsid w:val="00037CCF"/>
    <w:rsid w:val="000439F3"/>
    <w:rsid w:val="00045156"/>
    <w:rsid w:val="00045496"/>
    <w:rsid w:val="000479F4"/>
    <w:rsid w:val="00063FF4"/>
    <w:rsid w:val="00094006"/>
    <w:rsid w:val="000A1756"/>
    <w:rsid w:val="000B45A5"/>
    <w:rsid w:val="000D3F69"/>
    <w:rsid w:val="000E19DC"/>
    <w:rsid w:val="000F6682"/>
    <w:rsid w:val="001115D4"/>
    <w:rsid w:val="00145A2B"/>
    <w:rsid w:val="001545A1"/>
    <w:rsid w:val="00154D6C"/>
    <w:rsid w:val="00162BE9"/>
    <w:rsid w:val="00170084"/>
    <w:rsid w:val="001725A2"/>
    <w:rsid w:val="0017261E"/>
    <w:rsid w:val="00181179"/>
    <w:rsid w:val="00185CB4"/>
    <w:rsid w:val="001A23EC"/>
    <w:rsid w:val="001B0894"/>
    <w:rsid w:val="001B0ED5"/>
    <w:rsid w:val="001C2BDC"/>
    <w:rsid w:val="001C38EE"/>
    <w:rsid w:val="001E2A3C"/>
    <w:rsid w:val="001E590E"/>
    <w:rsid w:val="001E5E8B"/>
    <w:rsid w:val="001F4EB9"/>
    <w:rsid w:val="001F526A"/>
    <w:rsid w:val="002017E3"/>
    <w:rsid w:val="00220D2E"/>
    <w:rsid w:val="00223B2F"/>
    <w:rsid w:val="002268AC"/>
    <w:rsid w:val="00227472"/>
    <w:rsid w:val="00231291"/>
    <w:rsid w:val="00232B7B"/>
    <w:rsid w:val="002366D4"/>
    <w:rsid w:val="002506D0"/>
    <w:rsid w:val="00254118"/>
    <w:rsid w:val="002576D8"/>
    <w:rsid w:val="002833C6"/>
    <w:rsid w:val="002873AD"/>
    <w:rsid w:val="00292C8A"/>
    <w:rsid w:val="002B717D"/>
    <w:rsid w:val="002C17C1"/>
    <w:rsid w:val="002D6364"/>
    <w:rsid w:val="002F417D"/>
    <w:rsid w:val="003006AD"/>
    <w:rsid w:val="0030417D"/>
    <w:rsid w:val="00321D19"/>
    <w:rsid w:val="003229D1"/>
    <w:rsid w:val="003371CB"/>
    <w:rsid w:val="003376DE"/>
    <w:rsid w:val="00345DCF"/>
    <w:rsid w:val="00350D13"/>
    <w:rsid w:val="00357CA8"/>
    <w:rsid w:val="003600BD"/>
    <w:rsid w:val="003679FB"/>
    <w:rsid w:val="00391A72"/>
    <w:rsid w:val="00392F4B"/>
    <w:rsid w:val="00395531"/>
    <w:rsid w:val="0039576D"/>
    <w:rsid w:val="003A2716"/>
    <w:rsid w:val="003B2B0C"/>
    <w:rsid w:val="003B7F04"/>
    <w:rsid w:val="003C39DC"/>
    <w:rsid w:val="003C4207"/>
    <w:rsid w:val="003C4E13"/>
    <w:rsid w:val="003D5C06"/>
    <w:rsid w:val="003E39DC"/>
    <w:rsid w:val="003F74BD"/>
    <w:rsid w:val="00403079"/>
    <w:rsid w:val="00403167"/>
    <w:rsid w:val="0040576A"/>
    <w:rsid w:val="00416034"/>
    <w:rsid w:val="004201EB"/>
    <w:rsid w:val="00425E58"/>
    <w:rsid w:val="004277BC"/>
    <w:rsid w:val="0043419E"/>
    <w:rsid w:val="00442D67"/>
    <w:rsid w:val="00444A1A"/>
    <w:rsid w:val="00455ECD"/>
    <w:rsid w:val="004657B7"/>
    <w:rsid w:val="0047034A"/>
    <w:rsid w:val="004A5DEF"/>
    <w:rsid w:val="004B0EB5"/>
    <w:rsid w:val="004B3567"/>
    <w:rsid w:val="004B5614"/>
    <w:rsid w:val="004C5CB8"/>
    <w:rsid w:val="004C658E"/>
    <w:rsid w:val="004D4A79"/>
    <w:rsid w:val="004D6582"/>
    <w:rsid w:val="004E1718"/>
    <w:rsid w:val="004E3EC1"/>
    <w:rsid w:val="004E544D"/>
    <w:rsid w:val="004F2E31"/>
    <w:rsid w:val="00510B4B"/>
    <w:rsid w:val="00515621"/>
    <w:rsid w:val="00515637"/>
    <w:rsid w:val="00520B15"/>
    <w:rsid w:val="005241EC"/>
    <w:rsid w:val="00542A8F"/>
    <w:rsid w:val="0055090C"/>
    <w:rsid w:val="00557645"/>
    <w:rsid w:val="005703A5"/>
    <w:rsid w:val="00583697"/>
    <w:rsid w:val="00584B06"/>
    <w:rsid w:val="00587AA0"/>
    <w:rsid w:val="00592F29"/>
    <w:rsid w:val="005C4EFB"/>
    <w:rsid w:val="005C75CD"/>
    <w:rsid w:val="005E2DB6"/>
    <w:rsid w:val="005F69E1"/>
    <w:rsid w:val="00602CD6"/>
    <w:rsid w:val="00620766"/>
    <w:rsid w:val="006230FB"/>
    <w:rsid w:val="00627B2C"/>
    <w:rsid w:val="00627B4D"/>
    <w:rsid w:val="00632A79"/>
    <w:rsid w:val="006338EE"/>
    <w:rsid w:val="0066071F"/>
    <w:rsid w:val="0066126E"/>
    <w:rsid w:val="00676F09"/>
    <w:rsid w:val="00680915"/>
    <w:rsid w:val="00684DFD"/>
    <w:rsid w:val="00691631"/>
    <w:rsid w:val="00691E84"/>
    <w:rsid w:val="006A6748"/>
    <w:rsid w:val="006A74CF"/>
    <w:rsid w:val="006C0305"/>
    <w:rsid w:val="006D37C7"/>
    <w:rsid w:val="006E0E5F"/>
    <w:rsid w:val="006E37C4"/>
    <w:rsid w:val="006E5CB2"/>
    <w:rsid w:val="006F7085"/>
    <w:rsid w:val="00700E33"/>
    <w:rsid w:val="007139E5"/>
    <w:rsid w:val="007161C8"/>
    <w:rsid w:val="0073092C"/>
    <w:rsid w:val="00740E6E"/>
    <w:rsid w:val="00744F83"/>
    <w:rsid w:val="0075305F"/>
    <w:rsid w:val="00761F21"/>
    <w:rsid w:val="007742C7"/>
    <w:rsid w:val="00775080"/>
    <w:rsid w:val="00786F5C"/>
    <w:rsid w:val="00794BB6"/>
    <w:rsid w:val="007A1F4E"/>
    <w:rsid w:val="007A3979"/>
    <w:rsid w:val="007B664C"/>
    <w:rsid w:val="007C6251"/>
    <w:rsid w:val="007F1173"/>
    <w:rsid w:val="00806C57"/>
    <w:rsid w:val="00840DB3"/>
    <w:rsid w:val="00842A35"/>
    <w:rsid w:val="00843730"/>
    <w:rsid w:val="00846E3C"/>
    <w:rsid w:val="008614C8"/>
    <w:rsid w:val="00861B1E"/>
    <w:rsid w:val="0086544F"/>
    <w:rsid w:val="008747BD"/>
    <w:rsid w:val="00882013"/>
    <w:rsid w:val="008845E6"/>
    <w:rsid w:val="00893761"/>
    <w:rsid w:val="00897C12"/>
    <w:rsid w:val="008A67B7"/>
    <w:rsid w:val="008B02F8"/>
    <w:rsid w:val="008B6BC4"/>
    <w:rsid w:val="008C4EFB"/>
    <w:rsid w:val="008C5D8D"/>
    <w:rsid w:val="008C62C9"/>
    <w:rsid w:val="008C70B4"/>
    <w:rsid w:val="008C7AA2"/>
    <w:rsid w:val="008D0C96"/>
    <w:rsid w:val="008D2208"/>
    <w:rsid w:val="008F399A"/>
    <w:rsid w:val="00904AA0"/>
    <w:rsid w:val="0090736E"/>
    <w:rsid w:val="00932AA4"/>
    <w:rsid w:val="0097015E"/>
    <w:rsid w:val="009A4125"/>
    <w:rsid w:val="009A41E0"/>
    <w:rsid w:val="009C010A"/>
    <w:rsid w:val="009E0D48"/>
    <w:rsid w:val="009E2B8D"/>
    <w:rsid w:val="009F476B"/>
    <w:rsid w:val="009F5C76"/>
    <w:rsid w:val="009F6AEF"/>
    <w:rsid w:val="00A00787"/>
    <w:rsid w:val="00A1191B"/>
    <w:rsid w:val="00A11B0C"/>
    <w:rsid w:val="00A17452"/>
    <w:rsid w:val="00A25235"/>
    <w:rsid w:val="00A26664"/>
    <w:rsid w:val="00A278D5"/>
    <w:rsid w:val="00A30FAA"/>
    <w:rsid w:val="00A45D2D"/>
    <w:rsid w:val="00A60DC8"/>
    <w:rsid w:val="00A76D8F"/>
    <w:rsid w:val="00A87EAA"/>
    <w:rsid w:val="00A9090B"/>
    <w:rsid w:val="00A9416E"/>
    <w:rsid w:val="00A948A8"/>
    <w:rsid w:val="00A96390"/>
    <w:rsid w:val="00A97B98"/>
    <w:rsid w:val="00AA45FC"/>
    <w:rsid w:val="00AA6092"/>
    <w:rsid w:val="00AB573A"/>
    <w:rsid w:val="00AC25A9"/>
    <w:rsid w:val="00AC2B08"/>
    <w:rsid w:val="00AC48E3"/>
    <w:rsid w:val="00AC5544"/>
    <w:rsid w:val="00AC694E"/>
    <w:rsid w:val="00AD0916"/>
    <w:rsid w:val="00AD1ABF"/>
    <w:rsid w:val="00AD6A09"/>
    <w:rsid w:val="00AD71CE"/>
    <w:rsid w:val="00AE1BC6"/>
    <w:rsid w:val="00AE555E"/>
    <w:rsid w:val="00AF6E42"/>
    <w:rsid w:val="00B0217D"/>
    <w:rsid w:val="00B03018"/>
    <w:rsid w:val="00B06282"/>
    <w:rsid w:val="00B42FFF"/>
    <w:rsid w:val="00B4315D"/>
    <w:rsid w:val="00B60B51"/>
    <w:rsid w:val="00B70E25"/>
    <w:rsid w:val="00B80131"/>
    <w:rsid w:val="00B83B8E"/>
    <w:rsid w:val="00B83E9A"/>
    <w:rsid w:val="00BB1093"/>
    <w:rsid w:val="00BB6DE0"/>
    <w:rsid w:val="00BC56E1"/>
    <w:rsid w:val="00BC7845"/>
    <w:rsid w:val="00BE4960"/>
    <w:rsid w:val="00BE4DD5"/>
    <w:rsid w:val="00BE79B6"/>
    <w:rsid w:val="00C00FCF"/>
    <w:rsid w:val="00C078E4"/>
    <w:rsid w:val="00C21835"/>
    <w:rsid w:val="00C26992"/>
    <w:rsid w:val="00C27744"/>
    <w:rsid w:val="00C37EDB"/>
    <w:rsid w:val="00C41536"/>
    <w:rsid w:val="00C44D0B"/>
    <w:rsid w:val="00C6566B"/>
    <w:rsid w:val="00C67223"/>
    <w:rsid w:val="00C70C78"/>
    <w:rsid w:val="00C8772B"/>
    <w:rsid w:val="00C912C2"/>
    <w:rsid w:val="00C965BC"/>
    <w:rsid w:val="00C97609"/>
    <w:rsid w:val="00CA0915"/>
    <w:rsid w:val="00CA70DC"/>
    <w:rsid w:val="00CC1A10"/>
    <w:rsid w:val="00CD55B3"/>
    <w:rsid w:val="00CD777E"/>
    <w:rsid w:val="00CE01D9"/>
    <w:rsid w:val="00CF0B94"/>
    <w:rsid w:val="00CF5BC6"/>
    <w:rsid w:val="00D003CB"/>
    <w:rsid w:val="00D00A96"/>
    <w:rsid w:val="00D0149F"/>
    <w:rsid w:val="00D17E09"/>
    <w:rsid w:val="00D236C8"/>
    <w:rsid w:val="00D27A53"/>
    <w:rsid w:val="00D36549"/>
    <w:rsid w:val="00D42E1A"/>
    <w:rsid w:val="00D4417A"/>
    <w:rsid w:val="00D53536"/>
    <w:rsid w:val="00D630A8"/>
    <w:rsid w:val="00D77BE3"/>
    <w:rsid w:val="00D91BDE"/>
    <w:rsid w:val="00DA3837"/>
    <w:rsid w:val="00DA49BA"/>
    <w:rsid w:val="00DB46E4"/>
    <w:rsid w:val="00DD02C2"/>
    <w:rsid w:val="00DD0DB5"/>
    <w:rsid w:val="00DD1073"/>
    <w:rsid w:val="00DD4342"/>
    <w:rsid w:val="00DF3B5F"/>
    <w:rsid w:val="00DF6962"/>
    <w:rsid w:val="00DF6DFD"/>
    <w:rsid w:val="00E025C6"/>
    <w:rsid w:val="00E06458"/>
    <w:rsid w:val="00E219C2"/>
    <w:rsid w:val="00E614B7"/>
    <w:rsid w:val="00E65B6C"/>
    <w:rsid w:val="00E6734A"/>
    <w:rsid w:val="00E67DCB"/>
    <w:rsid w:val="00E72021"/>
    <w:rsid w:val="00E95C2B"/>
    <w:rsid w:val="00EA0108"/>
    <w:rsid w:val="00EA0CAE"/>
    <w:rsid w:val="00EA3FB5"/>
    <w:rsid w:val="00EA7C57"/>
    <w:rsid w:val="00EB231B"/>
    <w:rsid w:val="00EB773B"/>
    <w:rsid w:val="00EC0281"/>
    <w:rsid w:val="00EC5F3B"/>
    <w:rsid w:val="00EE0A44"/>
    <w:rsid w:val="00EE1DB9"/>
    <w:rsid w:val="00EE355B"/>
    <w:rsid w:val="00EF008E"/>
    <w:rsid w:val="00EF0AFD"/>
    <w:rsid w:val="00F07097"/>
    <w:rsid w:val="00F17271"/>
    <w:rsid w:val="00F1755E"/>
    <w:rsid w:val="00F23C35"/>
    <w:rsid w:val="00F23C3A"/>
    <w:rsid w:val="00F259C6"/>
    <w:rsid w:val="00F26386"/>
    <w:rsid w:val="00F304C6"/>
    <w:rsid w:val="00F30CBA"/>
    <w:rsid w:val="00F33F4C"/>
    <w:rsid w:val="00F4043F"/>
    <w:rsid w:val="00F4114B"/>
    <w:rsid w:val="00F474CC"/>
    <w:rsid w:val="00F5667A"/>
    <w:rsid w:val="00F61401"/>
    <w:rsid w:val="00F622AE"/>
    <w:rsid w:val="00F64709"/>
    <w:rsid w:val="00F71CA7"/>
    <w:rsid w:val="00F76217"/>
    <w:rsid w:val="00F947C4"/>
    <w:rsid w:val="00FA3B44"/>
    <w:rsid w:val="00FA7CD3"/>
    <w:rsid w:val="00FC0ACE"/>
    <w:rsid w:val="00FD18B2"/>
    <w:rsid w:val="00FD30CA"/>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0C47"/>
  <w15:chartTrackingRefBased/>
  <w15:docId w15:val="{6323BD7A-2652-E142-AF5B-42B12614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567"/>
    <w:pPr>
      <w:tabs>
        <w:tab w:val="center" w:pos="4680"/>
        <w:tab w:val="right" w:pos="9360"/>
      </w:tabs>
    </w:pPr>
  </w:style>
  <w:style w:type="character" w:customStyle="1" w:styleId="HeaderChar">
    <w:name w:val="Header Char"/>
    <w:basedOn w:val="DefaultParagraphFont"/>
    <w:link w:val="Header"/>
    <w:uiPriority w:val="99"/>
    <w:rsid w:val="004B3567"/>
  </w:style>
  <w:style w:type="paragraph" w:styleId="Footer">
    <w:name w:val="footer"/>
    <w:basedOn w:val="Normal"/>
    <w:link w:val="FooterChar"/>
    <w:uiPriority w:val="99"/>
    <w:unhideWhenUsed/>
    <w:rsid w:val="004B3567"/>
    <w:pPr>
      <w:tabs>
        <w:tab w:val="center" w:pos="4680"/>
        <w:tab w:val="right" w:pos="9360"/>
      </w:tabs>
    </w:pPr>
  </w:style>
  <w:style w:type="character" w:customStyle="1" w:styleId="FooterChar">
    <w:name w:val="Footer Char"/>
    <w:basedOn w:val="DefaultParagraphFont"/>
    <w:link w:val="Footer"/>
    <w:uiPriority w:val="99"/>
    <w:rsid w:val="004B3567"/>
  </w:style>
  <w:style w:type="paragraph" w:styleId="ListParagraph">
    <w:name w:val="List Paragraph"/>
    <w:basedOn w:val="Normal"/>
    <w:uiPriority w:val="34"/>
    <w:qFormat/>
    <w:rsid w:val="003A2716"/>
    <w:pPr>
      <w:ind w:left="720"/>
      <w:contextualSpacing/>
    </w:pPr>
  </w:style>
  <w:style w:type="paragraph" w:customStyle="1" w:styleId="Default">
    <w:name w:val="Default"/>
    <w:rsid w:val="005241EC"/>
    <w:pPr>
      <w:autoSpaceDE w:val="0"/>
      <w:autoSpaceDN w:val="0"/>
      <w:adjustRightInd w:val="0"/>
    </w:pPr>
    <w:rPr>
      <w:rFonts w:ascii="Franklin Gothic Medium" w:hAnsi="Franklin Gothic Medium" w:cs="Franklin Gothic Medium"/>
      <w:color w:val="000000"/>
    </w:rPr>
  </w:style>
  <w:style w:type="character" w:styleId="Hyperlink">
    <w:name w:val="Hyperlink"/>
    <w:basedOn w:val="DefaultParagraphFont"/>
    <w:uiPriority w:val="99"/>
    <w:unhideWhenUsed/>
    <w:rsid w:val="005241EC"/>
    <w:rPr>
      <w:color w:val="0563C1" w:themeColor="hyperlink"/>
      <w:u w:val="single"/>
    </w:rPr>
  </w:style>
  <w:style w:type="character" w:styleId="UnresolvedMention">
    <w:name w:val="Unresolved Mention"/>
    <w:basedOn w:val="DefaultParagraphFont"/>
    <w:uiPriority w:val="99"/>
    <w:semiHidden/>
    <w:unhideWhenUsed/>
    <w:rsid w:val="00510B4B"/>
    <w:rPr>
      <w:color w:val="605E5C"/>
      <w:shd w:val="clear" w:color="auto" w:fill="E1DFDD"/>
    </w:rPr>
  </w:style>
  <w:style w:type="character" w:styleId="FollowedHyperlink">
    <w:name w:val="FollowedHyperlink"/>
    <w:basedOn w:val="DefaultParagraphFont"/>
    <w:uiPriority w:val="99"/>
    <w:semiHidden/>
    <w:unhideWhenUsed/>
    <w:rsid w:val="00F76217"/>
    <w:rPr>
      <w:color w:val="954F72" w:themeColor="followedHyperlink"/>
      <w:u w:val="single"/>
    </w:rPr>
  </w:style>
  <w:style w:type="paragraph" w:styleId="NormalWeb">
    <w:name w:val="Normal (Web)"/>
    <w:basedOn w:val="Normal"/>
    <w:uiPriority w:val="99"/>
    <w:semiHidden/>
    <w:unhideWhenUsed/>
    <w:rsid w:val="004277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0215">
      <w:bodyDiv w:val="1"/>
      <w:marLeft w:val="0"/>
      <w:marRight w:val="0"/>
      <w:marTop w:val="0"/>
      <w:marBottom w:val="0"/>
      <w:divBdr>
        <w:top w:val="none" w:sz="0" w:space="0" w:color="auto"/>
        <w:left w:val="none" w:sz="0" w:space="0" w:color="auto"/>
        <w:bottom w:val="none" w:sz="0" w:space="0" w:color="auto"/>
        <w:right w:val="none" w:sz="0" w:space="0" w:color="auto"/>
      </w:divBdr>
    </w:div>
    <w:div w:id="1119184266">
      <w:bodyDiv w:val="1"/>
      <w:marLeft w:val="0"/>
      <w:marRight w:val="0"/>
      <w:marTop w:val="0"/>
      <w:marBottom w:val="0"/>
      <w:divBdr>
        <w:top w:val="none" w:sz="0" w:space="0" w:color="auto"/>
        <w:left w:val="none" w:sz="0" w:space="0" w:color="auto"/>
        <w:bottom w:val="none" w:sz="0" w:space="0" w:color="auto"/>
        <w:right w:val="none" w:sz="0" w:space="0" w:color="auto"/>
      </w:divBdr>
      <w:divsChild>
        <w:div w:id="1872066844">
          <w:marLeft w:val="274"/>
          <w:marRight w:val="0"/>
          <w:marTop w:val="150"/>
          <w:marBottom w:val="0"/>
          <w:divBdr>
            <w:top w:val="none" w:sz="0" w:space="0" w:color="auto"/>
            <w:left w:val="none" w:sz="0" w:space="0" w:color="auto"/>
            <w:bottom w:val="none" w:sz="0" w:space="0" w:color="auto"/>
            <w:right w:val="none" w:sz="0" w:space="0" w:color="auto"/>
          </w:divBdr>
        </w:div>
      </w:divsChild>
    </w:div>
    <w:div w:id="1400909484">
      <w:bodyDiv w:val="1"/>
      <w:marLeft w:val="0"/>
      <w:marRight w:val="0"/>
      <w:marTop w:val="0"/>
      <w:marBottom w:val="0"/>
      <w:divBdr>
        <w:top w:val="none" w:sz="0" w:space="0" w:color="auto"/>
        <w:left w:val="none" w:sz="0" w:space="0" w:color="auto"/>
        <w:bottom w:val="none" w:sz="0" w:space="0" w:color="auto"/>
        <w:right w:val="none" w:sz="0" w:space="0" w:color="auto"/>
      </w:divBdr>
      <w:divsChild>
        <w:div w:id="64694440">
          <w:marLeft w:val="274"/>
          <w:marRight w:val="0"/>
          <w:marTop w:val="150"/>
          <w:marBottom w:val="0"/>
          <w:divBdr>
            <w:top w:val="none" w:sz="0" w:space="0" w:color="auto"/>
            <w:left w:val="none" w:sz="0" w:space="0" w:color="auto"/>
            <w:bottom w:val="none" w:sz="0" w:space="0" w:color="auto"/>
            <w:right w:val="none" w:sz="0" w:space="0" w:color="auto"/>
          </w:divBdr>
        </w:div>
      </w:divsChild>
    </w:div>
    <w:div w:id="1754543572">
      <w:bodyDiv w:val="1"/>
      <w:marLeft w:val="0"/>
      <w:marRight w:val="0"/>
      <w:marTop w:val="0"/>
      <w:marBottom w:val="0"/>
      <w:divBdr>
        <w:top w:val="none" w:sz="0" w:space="0" w:color="auto"/>
        <w:left w:val="none" w:sz="0" w:space="0" w:color="auto"/>
        <w:bottom w:val="none" w:sz="0" w:space="0" w:color="auto"/>
        <w:right w:val="none" w:sz="0" w:space="0" w:color="auto"/>
      </w:divBdr>
    </w:div>
    <w:div w:id="1758862143">
      <w:bodyDiv w:val="1"/>
      <w:marLeft w:val="0"/>
      <w:marRight w:val="0"/>
      <w:marTop w:val="0"/>
      <w:marBottom w:val="0"/>
      <w:divBdr>
        <w:top w:val="none" w:sz="0" w:space="0" w:color="auto"/>
        <w:left w:val="none" w:sz="0" w:space="0" w:color="auto"/>
        <w:bottom w:val="none" w:sz="0" w:space="0" w:color="auto"/>
        <w:right w:val="none" w:sz="0" w:space="0" w:color="auto"/>
      </w:divBdr>
    </w:div>
    <w:div w:id="17856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dc.gov/visionhealth/research/projects/ongoing/glaucom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70000DFCC69F4FAC70A4ACDB9BA625" ma:contentTypeVersion="10" ma:contentTypeDescription="Create a new document." ma:contentTypeScope="" ma:versionID="dbb8cceab5e67373fbf831f63f7579f6">
  <xsd:schema xmlns:xsd="http://www.w3.org/2001/XMLSchema" xmlns:xs="http://www.w3.org/2001/XMLSchema" xmlns:p="http://schemas.microsoft.com/office/2006/metadata/properties" xmlns:ns3="ec4f51bd-11ba-4937-9cbb-cbde1580a548" targetNamespace="http://schemas.microsoft.com/office/2006/metadata/properties" ma:root="true" ma:fieldsID="470c79da46f02446a3f8dc61d8df7300" ns3:_="">
    <xsd:import namespace="ec4f51bd-11ba-4937-9cbb-cbde1580a5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51bd-11ba-4937-9cbb-cbde1580a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8485C-7618-4C81-9C8F-82431C664A2D}">
  <ds:schemaRefs>
    <ds:schemaRef ds:uri="http://schemas.microsoft.com/sharepoint/v3/contenttype/forms"/>
  </ds:schemaRefs>
</ds:datastoreItem>
</file>

<file path=customXml/itemProps2.xml><?xml version="1.0" encoding="utf-8"?>
<ds:datastoreItem xmlns:ds="http://schemas.openxmlformats.org/officeDocument/2006/customXml" ds:itemID="{A3AC2606-0FB6-49F0-AC52-8BAD21D2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51bd-11ba-4937-9cbb-cbde1580a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B1D7C-551B-488C-8D27-35F302B87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Bilazer</dc:creator>
  <cp:keywords/>
  <dc:description/>
  <cp:lastModifiedBy>Sara Brown</cp:lastModifiedBy>
  <cp:revision>6</cp:revision>
  <dcterms:created xsi:type="dcterms:W3CDTF">2023-12-15T11:10:00Z</dcterms:created>
  <dcterms:modified xsi:type="dcterms:W3CDTF">2023-12-15T11:47:00Z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0x0101006370000DFCC69F4FAC70A4ACDB9BA625</vt:lpwstr>
  </property>
</Properties>
</file>